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F" w:rsidRDefault="0090381F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261" w:rsidRPr="0090381F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Pr="0090381F">
        <w:rPr>
          <w:rFonts w:ascii="Times New Roman" w:eastAsia="Calibri" w:hAnsi="Times New Roman" w:cs="Times New Roman"/>
          <w:sz w:val="28"/>
          <w:szCs w:val="28"/>
        </w:rPr>
        <w:t>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151021">
        <w:rPr>
          <w:rFonts w:ascii="Times New Roman" w:eastAsia="Calibri" w:hAnsi="Times New Roman" w:cs="Times New Roman"/>
          <w:sz w:val="28"/>
          <w:szCs w:val="28"/>
        </w:rPr>
        <w:t xml:space="preserve"> на 2019</w:t>
      </w:r>
      <w:r w:rsidR="00260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021">
        <w:rPr>
          <w:rFonts w:ascii="Times New Roman" w:eastAsia="Calibri" w:hAnsi="Times New Roman" w:cs="Times New Roman"/>
          <w:sz w:val="28"/>
          <w:szCs w:val="28"/>
        </w:rPr>
        <w:t>-</w:t>
      </w:r>
      <w:r w:rsidR="00260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021">
        <w:rPr>
          <w:rFonts w:ascii="Times New Roman" w:eastAsia="Calibri" w:hAnsi="Times New Roman" w:cs="Times New Roman"/>
          <w:sz w:val="28"/>
          <w:szCs w:val="28"/>
        </w:rPr>
        <w:t>2021 годы</w:t>
      </w:r>
    </w:p>
    <w:p w:rsidR="0090381F" w:rsidRDefault="0090381F" w:rsidP="00B37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757" w:rsidRPr="0090381F" w:rsidRDefault="00D55757" w:rsidP="00B37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07B" w:rsidRPr="0078007B" w:rsidRDefault="0090381F" w:rsidP="007800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903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Pr="0078007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законодательные акты Российской Федерации»</w:t>
      </w:r>
      <w:r w:rsidR="0078007B" w:rsidRPr="00780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администрации города Ставрополя от </w:t>
      </w:r>
      <w:r w:rsidR="0078007B" w:rsidRPr="0078007B">
        <w:rPr>
          <w:rFonts w:ascii="Times New Roman" w:eastAsia="Arial Unicode MS" w:hAnsi="Times New Roman" w:cs="Times New Roman"/>
          <w:sz w:val="28"/>
          <w:szCs w:val="28"/>
        </w:rPr>
        <w:t>30.08.2016 № 2043</w:t>
      </w:r>
      <w:r w:rsidR="00780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007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8007B" w:rsidRPr="00780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78007B" w:rsidRPr="0078007B">
        <w:rPr>
          <w:rFonts w:ascii="Times New Roman" w:eastAsia="Calibri" w:hAnsi="Times New Roman" w:cs="Times New Roman"/>
          <w:sz w:val="28"/>
          <w:szCs w:val="28"/>
        </w:rPr>
        <w:t xml:space="preserve">Порядка подготовки документа планирования регулярных перевозок </w:t>
      </w:r>
      <w:r w:rsidR="00853A20">
        <w:rPr>
          <w:rFonts w:ascii="Times New Roman" w:eastAsia="Calibri" w:hAnsi="Times New Roman" w:cs="Times New Roman"/>
          <w:sz w:val="28"/>
          <w:szCs w:val="28"/>
        </w:rPr>
        <w:br/>
      </w:r>
      <w:r w:rsidR="0078007B" w:rsidRPr="0078007B">
        <w:rPr>
          <w:rFonts w:ascii="Times New Roman" w:eastAsia="Calibri" w:hAnsi="Times New Roman" w:cs="Times New Roman"/>
          <w:sz w:val="28"/>
          <w:szCs w:val="28"/>
        </w:rPr>
        <w:t>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7800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1F">
        <w:rPr>
          <w:rFonts w:ascii="Times New Roman" w:eastAsia="Calibri" w:hAnsi="Times New Roman" w:cs="Times New Roman"/>
          <w:sz w:val="28"/>
        </w:rPr>
        <w:t>1. </w:t>
      </w:r>
      <w:r w:rsidRPr="0090381F">
        <w:rPr>
          <w:rFonts w:ascii="Times New Roman" w:eastAsia="Calibri" w:hAnsi="Times New Roman" w:cs="Times New Roman"/>
          <w:sz w:val="28"/>
          <w:szCs w:val="28"/>
        </w:rPr>
        <w:t xml:space="preserve">Утвердить документ планирования регулярных перевозок </w:t>
      </w:r>
      <w:r w:rsidR="00B37E1F">
        <w:rPr>
          <w:rFonts w:ascii="Times New Roman" w:eastAsia="Calibri" w:hAnsi="Times New Roman" w:cs="Times New Roman"/>
          <w:sz w:val="28"/>
          <w:szCs w:val="28"/>
        </w:rPr>
        <w:br/>
      </w:r>
      <w:r w:rsidRPr="0090381F">
        <w:rPr>
          <w:rFonts w:ascii="Times New Roman" w:eastAsia="Calibri" w:hAnsi="Times New Roman" w:cs="Times New Roman"/>
          <w:sz w:val="28"/>
          <w:szCs w:val="28"/>
        </w:rPr>
        <w:t>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B1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C2A">
        <w:rPr>
          <w:rFonts w:ascii="Times New Roman" w:eastAsia="Calibri" w:hAnsi="Times New Roman" w:cs="Times New Roman"/>
          <w:sz w:val="28"/>
          <w:szCs w:val="28"/>
        </w:rPr>
        <w:t>на 2019 – 2021 годы</w:t>
      </w:r>
      <w:r w:rsidRPr="0090381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90381F" w:rsidRDefault="0090381F" w:rsidP="009038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1F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22C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3A20">
        <w:rPr>
          <w:rFonts w:ascii="Times New Roman" w:eastAsia="Calibri" w:hAnsi="Times New Roman" w:cs="Times New Roman"/>
          <w:sz w:val="28"/>
          <w:szCs w:val="28"/>
        </w:rPr>
        <w:br/>
      </w:r>
      <w:r w:rsidR="00922C2A">
        <w:rPr>
          <w:rFonts w:ascii="Times New Roman" w:eastAsia="Calibri" w:hAnsi="Times New Roman" w:cs="Times New Roman"/>
          <w:sz w:val="28"/>
          <w:szCs w:val="28"/>
        </w:rPr>
        <w:t>но не ранее 01 января 2019 года.</w:t>
      </w:r>
    </w:p>
    <w:p w:rsidR="0090381F" w:rsidRPr="0090381F" w:rsidRDefault="00922C2A" w:rsidP="009038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0381F" w:rsidRPr="0090381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90381F" w:rsidRPr="0090381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90381F" w:rsidRPr="0090381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0381F" w:rsidRPr="0090381F" w:rsidRDefault="00922C2A" w:rsidP="009038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381F" w:rsidRP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исполнения настоящего постановления оставляю за собой.</w:t>
      </w:r>
    </w:p>
    <w:p w:rsidR="0090381F" w:rsidRPr="0090381F" w:rsidRDefault="0090381F" w:rsidP="0020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81F" w:rsidRDefault="0090381F" w:rsidP="002F27A5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</w:t>
      </w:r>
      <w:r w:rsidR="00B37E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  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</w:t>
      </w:r>
      <w:r w:rsidR="002F27A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А.Х. Джатдоев</w:t>
      </w:r>
    </w:p>
    <w:p w:rsidR="00B37E1F" w:rsidRDefault="00B37E1F" w:rsidP="00B37E1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  <w:sectPr w:rsidR="00B37E1F" w:rsidSect="00B8002C">
          <w:headerReference w:type="even" r:id="rId8"/>
          <w:headerReference w:type="first" r:id="rId9"/>
          <w:pgSz w:w="11906" w:h="16838"/>
          <w:pgMar w:top="1418" w:right="566" w:bottom="1134" w:left="1985" w:header="708" w:footer="708" w:gutter="0"/>
          <w:cols w:space="708"/>
          <w:docGrid w:linePitch="360"/>
        </w:sectPr>
      </w:pPr>
    </w:p>
    <w:p w:rsidR="00B37E1F" w:rsidRPr="00B37E1F" w:rsidRDefault="00B37E1F" w:rsidP="00B37E1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 w:rsidRPr="00B37E1F">
        <w:rPr>
          <w:rFonts w:ascii="Times New Roman" w:hAnsi="Times New Roman" w:cs="Times New Roman"/>
          <w:sz w:val="28"/>
          <w:szCs w:val="20"/>
        </w:rPr>
        <w:lastRenderedPageBreak/>
        <w:t xml:space="preserve">Приложение </w:t>
      </w:r>
    </w:p>
    <w:p w:rsidR="00B37E1F" w:rsidRPr="00B37E1F" w:rsidRDefault="00B37E1F" w:rsidP="00B37E1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</w:p>
    <w:p w:rsidR="00B37E1F" w:rsidRPr="00B37E1F" w:rsidRDefault="00B37E1F" w:rsidP="00B37E1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 w:rsidRPr="00B37E1F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Ставрополя </w:t>
      </w:r>
    </w:p>
    <w:p w:rsidR="00B37E1F" w:rsidRPr="00B37E1F" w:rsidRDefault="00B37E1F" w:rsidP="00B37E1F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B37E1F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</w:t>
      </w:r>
      <w:r w:rsidRPr="00B37E1F">
        <w:rPr>
          <w:rFonts w:ascii="Times New Roman" w:hAnsi="Times New Roman" w:cs="Times New Roman"/>
          <w:sz w:val="28"/>
          <w:szCs w:val="20"/>
        </w:rPr>
        <w:t>№</w:t>
      </w:r>
    </w:p>
    <w:p w:rsidR="00893B9D" w:rsidRDefault="00893B9D" w:rsidP="00B37E1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E36" w:rsidRPr="00B37E1F" w:rsidRDefault="008E4E36" w:rsidP="00B37E1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E1F" w:rsidRPr="00B37E1F" w:rsidRDefault="00B37E1F" w:rsidP="00B37E1F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E1F"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B37E1F" w:rsidRPr="00B37E1F" w:rsidRDefault="00B37E1F" w:rsidP="00B37E1F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E1F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</w:t>
      </w:r>
      <w:r w:rsidRPr="00B37E1F">
        <w:rPr>
          <w:rFonts w:ascii="Times New Roman" w:hAnsi="Times New Roman" w:cs="Times New Roman"/>
          <w:sz w:val="28"/>
          <w:szCs w:val="20"/>
        </w:rPr>
        <w:t>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922C2A">
        <w:rPr>
          <w:rFonts w:ascii="Times New Roman" w:hAnsi="Times New Roman" w:cs="Times New Roman"/>
          <w:sz w:val="28"/>
          <w:szCs w:val="20"/>
        </w:rPr>
        <w:t xml:space="preserve"> на 2019 – 2021 годы</w:t>
      </w:r>
    </w:p>
    <w:p w:rsidR="00853A20" w:rsidRDefault="00853A20" w:rsidP="00B37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E4E36" w:rsidRPr="00B37E1F" w:rsidRDefault="008E4E36" w:rsidP="00B37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B37E1F" w:rsidRPr="00B37E1F" w:rsidRDefault="00B37E1F" w:rsidP="00B37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1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37E1F">
        <w:rPr>
          <w:rFonts w:ascii="Times New Roman" w:hAnsi="Times New Roman" w:cs="Times New Roman"/>
          <w:sz w:val="28"/>
          <w:szCs w:val="28"/>
        </w:rPr>
        <w:t xml:space="preserve">Настоящий 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922C2A">
        <w:rPr>
          <w:rFonts w:ascii="Times New Roman" w:hAnsi="Times New Roman" w:cs="Times New Roman"/>
          <w:sz w:val="28"/>
          <w:szCs w:val="28"/>
        </w:rPr>
        <w:t xml:space="preserve">на 2019 – 2021 годы </w:t>
      </w:r>
      <w:r w:rsidRPr="00B37E1F">
        <w:rPr>
          <w:rFonts w:ascii="Times New Roman" w:hAnsi="Times New Roman" w:cs="Times New Roman"/>
          <w:sz w:val="28"/>
          <w:szCs w:val="28"/>
        </w:rPr>
        <w:t xml:space="preserve">(далее соответственно - документ планирования, регулярные перевозки, муниципальный маршрут) </w:t>
      </w:r>
      <w:r w:rsidR="00922C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7E1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13 июля 2015 г. </w:t>
      </w:r>
      <w:r w:rsidR="003841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7E1F">
        <w:rPr>
          <w:rFonts w:ascii="Times New Roman" w:hAnsi="Times New Roman" w:cs="Times New Roman"/>
          <w:sz w:val="28"/>
          <w:szCs w:val="28"/>
        </w:rPr>
        <w:t>№ 220-ФЗ</w:t>
      </w:r>
      <w:r w:rsidR="00922C2A">
        <w:rPr>
          <w:rFonts w:ascii="Times New Roman" w:hAnsi="Times New Roman" w:cs="Times New Roman"/>
          <w:sz w:val="28"/>
          <w:szCs w:val="28"/>
        </w:rPr>
        <w:t xml:space="preserve"> </w:t>
      </w:r>
      <w:r w:rsidRPr="00B37E1F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</w:t>
      </w:r>
      <w:proofErr w:type="gramEnd"/>
      <w:r w:rsidR="008B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E1F">
        <w:rPr>
          <w:rFonts w:ascii="Times New Roman" w:hAnsi="Times New Roman" w:cs="Times New Roman"/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152BD">
        <w:rPr>
          <w:rFonts w:ascii="Times New Roman" w:hAnsi="Times New Roman" w:cs="Times New Roman"/>
          <w:sz w:val="28"/>
          <w:szCs w:val="28"/>
        </w:rPr>
        <w:t>,</w:t>
      </w:r>
      <w:r w:rsidRPr="00B37E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</w:t>
      </w:r>
      <w:r w:rsidR="00922C2A">
        <w:rPr>
          <w:rFonts w:ascii="Times New Roman" w:hAnsi="Times New Roman" w:cs="Times New Roman"/>
          <w:sz w:val="28"/>
          <w:szCs w:val="28"/>
        </w:rPr>
        <w:t xml:space="preserve"> </w:t>
      </w:r>
      <w:r w:rsidRPr="00B37E1F">
        <w:rPr>
          <w:rFonts w:ascii="Times New Roman" w:hAnsi="Times New Roman" w:cs="Times New Roman"/>
          <w:sz w:val="28"/>
          <w:szCs w:val="28"/>
        </w:rPr>
        <w:t xml:space="preserve">от 30.08.2016 № 2043 «Об утверждении Порядка подготовки документа планирования регулярных перевозок </w:t>
      </w:r>
      <w:r w:rsidR="00853A20">
        <w:rPr>
          <w:rFonts w:ascii="Times New Roman" w:hAnsi="Times New Roman" w:cs="Times New Roman"/>
          <w:sz w:val="28"/>
          <w:szCs w:val="28"/>
        </w:rPr>
        <w:br/>
      </w:r>
      <w:r w:rsidRPr="00B37E1F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пассажиров и багажа автомобильным</w:t>
      </w:r>
      <w:r w:rsidR="008B1569">
        <w:rPr>
          <w:rFonts w:ascii="Times New Roman" w:hAnsi="Times New Roman" w:cs="Times New Roman"/>
          <w:sz w:val="28"/>
          <w:szCs w:val="28"/>
        </w:rPr>
        <w:t xml:space="preserve"> тр</w:t>
      </w:r>
      <w:r w:rsidRPr="00B37E1F">
        <w:rPr>
          <w:rFonts w:ascii="Times New Roman" w:hAnsi="Times New Roman" w:cs="Times New Roman"/>
          <w:sz w:val="28"/>
          <w:szCs w:val="28"/>
        </w:rPr>
        <w:t>анспортом и городским наземным электрическим транспортом на территории муниципального образования го</w:t>
      </w:r>
      <w:r w:rsidR="008B1569">
        <w:rPr>
          <w:rFonts w:ascii="Times New Roman" w:hAnsi="Times New Roman" w:cs="Times New Roman"/>
          <w:sz w:val="28"/>
          <w:szCs w:val="28"/>
        </w:rPr>
        <w:t xml:space="preserve">рода Ставрополя Ставропольского </w:t>
      </w:r>
      <w:r w:rsidRPr="00B37E1F">
        <w:rPr>
          <w:rFonts w:ascii="Times New Roman" w:hAnsi="Times New Roman" w:cs="Times New Roman"/>
          <w:sz w:val="28"/>
          <w:szCs w:val="28"/>
        </w:rPr>
        <w:t>края» и устанавливает перечень</w:t>
      </w:r>
      <w:proofErr w:type="gramEnd"/>
      <w:r w:rsidRPr="00B37E1F">
        <w:rPr>
          <w:rFonts w:ascii="Times New Roman" w:hAnsi="Times New Roman" w:cs="Times New Roman"/>
          <w:sz w:val="28"/>
          <w:szCs w:val="28"/>
        </w:rPr>
        <w:t xml:space="preserve"> мероприятий по развитию регулярных перевозок по муниципальным маршрутам и сроки их реализации</w:t>
      </w:r>
      <w:r w:rsidR="00922C2A">
        <w:rPr>
          <w:rFonts w:ascii="Times New Roman" w:hAnsi="Times New Roman" w:cs="Times New Roman"/>
          <w:sz w:val="28"/>
          <w:szCs w:val="28"/>
        </w:rPr>
        <w:t xml:space="preserve"> на 2019 – 2021 годы</w:t>
      </w:r>
      <w:r w:rsidRPr="00B37E1F">
        <w:rPr>
          <w:rFonts w:ascii="Times New Roman" w:hAnsi="Times New Roman" w:cs="Times New Roman"/>
          <w:sz w:val="28"/>
          <w:szCs w:val="28"/>
        </w:rPr>
        <w:t>.</w:t>
      </w:r>
    </w:p>
    <w:p w:rsidR="00A21C54" w:rsidRDefault="00B37E1F" w:rsidP="00B37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1F">
        <w:rPr>
          <w:rFonts w:ascii="Times New Roman" w:hAnsi="Times New Roman" w:cs="Times New Roman"/>
          <w:sz w:val="28"/>
          <w:szCs w:val="28"/>
        </w:rPr>
        <w:t xml:space="preserve">2. Перечень мероприятий по развитию регулярных перевозок </w:t>
      </w:r>
      <w:r w:rsidR="00853A20">
        <w:rPr>
          <w:rFonts w:ascii="Times New Roman" w:hAnsi="Times New Roman" w:cs="Times New Roman"/>
          <w:sz w:val="28"/>
          <w:szCs w:val="28"/>
        </w:rPr>
        <w:br/>
      </w:r>
      <w:r w:rsidRPr="00B37E1F">
        <w:rPr>
          <w:rFonts w:ascii="Times New Roman" w:hAnsi="Times New Roman" w:cs="Times New Roman"/>
          <w:sz w:val="28"/>
          <w:szCs w:val="28"/>
        </w:rPr>
        <w:t>по муниципальным маршрутам и сроки их реализации</w:t>
      </w:r>
      <w:r w:rsidR="00C152BD">
        <w:rPr>
          <w:rFonts w:ascii="Times New Roman" w:hAnsi="Times New Roman" w:cs="Times New Roman"/>
          <w:sz w:val="28"/>
          <w:szCs w:val="28"/>
        </w:rPr>
        <w:t xml:space="preserve"> приведены в таблице.</w:t>
      </w:r>
    </w:p>
    <w:p w:rsidR="00CC33AF" w:rsidRDefault="00CC33AF" w:rsidP="00B37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235"/>
        <w:gridCol w:w="3544"/>
        <w:gridCol w:w="1559"/>
        <w:gridCol w:w="2126"/>
      </w:tblGrid>
      <w:tr w:rsidR="00EF7DAF" w:rsidTr="005E5EB7">
        <w:trPr>
          <w:gridBefore w:val="1"/>
          <w:wBefore w:w="34" w:type="dxa"/>
        </w:trPr>
        <w:tc>
          <w:tcPr>
            <w:tcW w:w="2235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Наименование</w:t>
            </w:r>
          </w:p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544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Порядковый номер  и наименование муниципального маршрута</w:t>
            </w:r>
          </w:p>
        </w:tc>
        <w:tc>
          <w:tcPr>
            <w:tcW w:w="1559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26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F7DAF" w:rsidTr="005E5EB7">
        <w:trPr>
          <w:gridBefore w:val="1"/>
          <w:wBefore w:w="34" w:type="dxa"/>
        </w:trPr>
        <w:tc>
          <w:tcPr>
            <w:tcW w:w="2235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4</w:t>
            </w:r>
          </w:p>
        </w:tc>
      </w:tr>
      <w:tr w:rsidR="00EF7DAF" w:rsidTr="005E5EB7">
        <w:trPr>
          <w:gridBefore w:val="1"/>
          <w:wBefore w:w="34" w:type="dxa"/>
          <w:trHeight w:val="1429"/>
        </w:trPr>
        <w:tc>
          <w:tcPr>
            <w:tcW w:w="2235" w:type="dxa"/>
            <w:vMerge w:val="restart"/>
          </w:tcPr>
          <w:p w:rsidR="00EF7DAF" w:rsidRDefault="00EF7DAF" w:rsidP="00F21C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EA">
              <w:rPr>
                <w:rFonts w:ascii="Times New Roman" w:hAnsi="Times New Roman" w:cs="Times New Roman"/>
              </w:rPr>
              <w:t>1. Установление</w:t>
            </w:r>
            <w:r>
              <w:rPr>
                <w:rFonts w:ascii="Times New Roman" w:hAnsi="Times New Roman" w:cs="Times New Roman"/>
              </w:rPr>
              <w:t xml:space="preserve"> муниципальных маршрутов</w:t>
            </w:r>
          </w:p>
        </w:tc>
        <w:tc>
          <w:tcPr>
            <w:tcW w:w="3544" w:type="dxa"/>
          </w:tcPr>
          <w:p w:rsidR="00C152BD" w:rsidRDefault="00EF7DAF" w:rsidP="00C152BD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 xml:space="preserve">№ 50 </w:t>
            </w:r>
          </w:p>
          <w:p w:rsidR="00EF7DAF" w:rsidRPr="00F651EA" w:rsidRDefault="00EF7DAF" w:rsidP="00C152BD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«</w:t>
            </w:r>
            <w:proofErr w:type="spellStart"/>
            <w:r w:rsidRPr="00F651EA">
              <w:rPr>
                <w:rFonts w:ascii="Times New Roman" w:hAnsi="Times New Roman" w:cs="Times New Roman"/>
              </w:rPr>
              <w:t>мкр</w:t>
            </w:r>
            <w:proofErr w:type="spellEnd"/>
            <w:r w:rsidRPr="00F651EA">
              <w:rPr>
                <w:rFonts w:ascii="Times New Roman" w:hAnsi="Times New Roman" w:cs="Times New Roman"/>
              </w:rPr>
              <w:t>. «Перспективный» -</w:t>
            </w:r>
          </w:p>
          <w:p w:rsidR="00EF7DAF" w:rsidRPr="00F651EA" w:rsidRDefault="00EF7DAF" w:rsidP="00C152BD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Автостанция № 1»</w:t>
            </w:r>
          </w:p>
        </w:tc>
        <w:tc>
          <w:tcPr>
            <w:tcW w:w="1559" w:type="dxa"/>
          </w:tcPr>
          <w:p w:rsidR="00C152BD" w:rsidRDefault="00EF7DAF" w:rsidP="008E4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 квартал</w:t>
            </w:r>
          </w:p>
          <w:p w:rsidR="00EF7DAF" w:rsidRPr="00F651EA" w:rsidRDefault="00EF7DAF" w:rsidP="008E4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 (далее - комитет)</w:t>
            </w:r>
          </w:p>
        </w:tc>
      </w:tr>
      <w:tr w:rsidR="00EF7DAF" w:rsidTr="005E5EB7">
        <w:trPr>
          <w:gridBefore w:val="1"/>
          <w:wBefore w:w="34" w:type="dxa"/>
          <w:trHeight w:val="621"/>
        </w:trPr>
        <w:tc>
          <w:tcPr>
            <w:tcW w:w="2235" w:type="dxa"/>
            <w:vMerge/>
          </w:tcPr>
          <w:p w:rsidR="00EF7DAF" w:rsidRDefault="00EF7DAF" w:rsidP="00B37E1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7DAF" w:rsidRDefault="00EF7DAF" w:rsidP="008E4E3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№ 62м «</w:t>
            </w:r>
            <w:proofErr w:type="spellStart"/>
            <w:r w:rsidRPr="00F651EA">
              <w:rPr>
                <w:rFonts w:ascii="Times New Roman" w:hAnsi="Times New Roman" w:cs="Times New Roman"/>
              </w:rPr>
              <w:t>СтавНИИГиМ</w:t>
            </w:r>
            <w:proofErr w:type="spellEnd"/>
            <w:r w:rsidR="008E4E36">
              <w:rPr>
                <w:rFonts w:ascii="Times New Roman" w:hAnsi="Times New Roman" w:cs="Times New Roman"/>
              </w:rPr>
              <w:t xml:space="preserve"> </w:t>
            </w:r>
            <w:r w:rsidRPr="00F651E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51EA">
              <w:rPr>
                <w:rFonts w:ascii="Times New Roman" w:hAnsi="Times New Roman" w:cs="Times New Roman"/>
              </w:rPr>
              <w:t>Крестовоздвиженское</w:t>
            </w:r>
            <w:proofErr w:type="spellEnd"/>
            <w:r w:rsidRPr="00F651EA">
              <w:rPr>
                <w:rFonts w:ascii="Times New Roman" w:hAnsi="Times New Roman" w:cs="Times New Roman"/>
              </w:rPr>
              <w:t xml:space="preserve"> кладбище»</w:t>
            </w:r>
          </w:p>
          <w:p w:rsidR="008E4E36" w:rsidRPr="00F651EA" w:rsidRDefault="008E4E36" w:rsidP="00C152BD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2BD" w:rsidRDefault="00EF7DAF" w:rsidP="00C15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I квартал </w:t>
            </w:r>
          </w:p>
          <w:p w:rsidR="00EF7DAF" w:rsidRPr="00F651EA" w:rsidRDefault="00EF7DAF" w:rsidP="005E5EB7">
            <w:pPr>
              <w:autoSpaceDE w:val="0"/>
              <w:autoSpaceDN w:val="0"/>
              <w:adjustRightInd w:val="0"/>
              <w:ind w:left="-109" w:right="-1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EF7DAF" w:rsidRPr="00F651EA" w:rsidRDefault="00EF7DAF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</w:tcPr>
          <w:p w:rsidR="00D1207F" w:rsidRPr="00F651EA" w:rsidRDefault="00D1207F" w:rsidP="0079694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4" w:type="dxa"/>
          </w:tcPr>
          <w:p w:rsidR="00D1207F" w:rsidRPr="00F651EA" w:rsidRDefault="00D1207F" w:rsidP="0079694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1207F" w:rsidRPr="00F651EA" w:rsidRDefault="00D1207F" w:rsidP="0079694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1207F" w:rsidRPr="00F651EA" w:rsidRDefault="00D1207F" w:rsidP="0079694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4</w:t>
            </w:r>
          </w:p>
        </w:tc>
      </w:tr>
      <w:tr w:rsidR="00D1207F" w:rsidTr="005E5EB7">
        <w:tc>
          <w:tcPr>
            <w:tcW w:w="2269" w:type="dxa"/>
            <w:gridSpan w:val="2"/>
            <w:vMerge w:val="restart"/>
          </w:tcPr>
          <w:p w:rsidR="00D1207F" w:rsidRPr="00F651EA" w:rsidRDefault="00530B75" w:rsidP="0043625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 xml:space="preserve">2. </w:t>
            </w:r>
            <w:r w:rsidR="00D1207F" w:rsidRPr="00F651EA">
              <w:rPr>
                <w:rFonts w:ascii="Times New Roman" w:hAnsi="Times New Roman" w:cs="Times New Roman"/>
              </w:rPr>
              <w:t>Изменение</w:t>
            </w:r>
            <w:r w:rsidR="00436252">
              <w:rPr>
                <w:rFonts w:ascii="Times New Roman" w:hAnsi="Times New Roman" w:cs="Times New Roman"/>
              </w:rPr>
              <w:t xml:space="preserve"> муниципальных маршрутов</w:t>
            </w:r>
          </w:p>
        </w:tc>
        <w:tc>
          <w:tcPr>
            <w:tcW w:w="3544" w:type="dxa"/>
          </w:tcPr>
          <w:p w:rsidR="00D1207F" w:rsidRPr="00F651EA" w:rsidRDefault="00D1207F" w:rsidP="008E4E3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№ 5м «с/т «Яблочко» -                         ж/к «Олимпийский»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</w:t>
            </w:r>
          </w:p>
          <w:p w:rsidR="00D1207F" w:rsidRPr="00F651EA" w:rsidRDefault="00D1207F" w:rsidP="00843FD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D1207F" w:rsidP="008E4E3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№</w:t>
            </w:r>
            <w:r w:rsidRPr="00F21CA2">
              <w:t xml:space="preserve"> </w:t>
            </w:r>
            <w:r w:rsidRPr="00F651EA">
              <w:rPr>
                <w:rFonts w:ascii="Times New Roman" w:hAnsi="Times New Roman" w:cs="Times New Roman"/>
              </w:rPr>
              <w:t xml:space="preserve">31м «ул. </w:t>
            </w:r>
            <w:proofErr w:type="spellStart"/>
            <w:r w:rsidRPr="00F651EA">
              <w:rPr>
                <w:rFonts w:ascii="Times New Roman" w:hAnsi="Times New Roman" w:cs="Times New Roman"/>
              </w:rPr>
              <w:t>Завокзальная</w:t>
            </w:r>
            <w:proofErr w:type="spellEnd"/>
            <w:r w:rsidR="00F21CA2">
              <w:rPr>
                <w:rFonts w:ascii="Times New Roman" w:hAnsi="Times New Roman" w:cs="Times New Roman"/>
              </w:rPr>
              <w:t> </w:t>
            </w:r>
            <w:r w:rsidRPr="00F651EA">
              <w:rPr>
                <w:rFonts w:ascii="Times New Roman" w:hAnsi="Times New Roman" w:cs="Times New Roman"/>
              </w:rPr>
              <w:t>-</w:t>
            </w:r>
            <w:r w:rsidR="008E4E36">
              <w:rPr>
                <w:rFonts w:ascii="Times New Roman" w:hAnsi="Times New Roman" w:cs="Times New Roman"/>
              </w:rPr>
              <w:br/>
            </w:r>
            <w:r w:rsidRPr="00F651EA">
              <w:rPr>
                <w:rFonts w:ascii="Times New Roman" w:hAnsi="Times New Roman" w:cs="Times New Roman"/>
              </w:rPr>
              <w:t>9 поликлиника»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</w:t>
            </w:r>
          </w:p>
          <w:p w:rsidR="00D1207F" w:rsidRP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</w:t>
            </w:r>
            <w:r w:rsidRPr="008E4E36">
              <w:rPr>
                <w:rFonts w:ascii="Times New Roman" w:hAnsi="Times New Roman" w:cs="Times New Roman"/>
                <w:color w:val="000000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6252" w:rsidRDefault="00436252" w:rsidP="00436252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51м «ул. Чехова</w:t>
            </w:r>
            <w:r w:rsidR="00C152BD">
              <w:rPr>
                <w:rFonts w:ascii="Times New Roman" w:hAnsi="Times New Roman" w:cs="Times New Roman"/>
              </w:rPr>
              <w:t xml:space="preserve"> </w:t>
            </w:r>
            <w:r w:rsidR="00D1207F" w:rsidRPr="00F651EA">
              <w:rPr>
                <w:rFonts w:ascii="Times New Roman" w:hAnsi="Times New Roman" w:cs="Times New Roman"/>
              </w:rPr>
              <w:t>-</w:t>
            </w:r>
          </w:p>
          <w:p w:rsidR="00D1207F" w:rsidRPr="00F651EA" w:rsidRDefault="00D1207F" w:rsidP="00436252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ул. 8 Промышленная»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</w:t>
            </w:r>
          </w:p>
          <w:p w:rsidR="00D1207F" w:rsidRP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</w:t>
            </w:r>
            <w:r w:rsidRPr="008E4E36">
              <w:rPr>
                <w:rFonts w:ascii="Times New Roman" w:hAnsi="Times New Roman" w:cs="Times New Roman"/>
                <w:color w:val="000000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4E36" w:rsidRDefault="00D1207F" w:rsidP="00D1207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№ 20 «с/т «Мечта» - </w:t>
            </w:r>
          </w:p>
          <w:p w:rsidR="00D1207F" w:rsidRPr="00F651EA" w:rsidRDefault="00D1207F" w:rsidP="00D1207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с/т «Химик»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I квартал </w:t>
            </w:r>
          </w:p>
          <w:p w:rsidR="00D1207F" w:rsidRP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D1207F" w:rsidP="0043625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№ 39м «ул. Чехова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E4E36">
              <w:rPr>
                <w:rFonts w:ascii="Times New Roman" w:hAnsi="Times New Roman" w:cs="Times New Roman"/>
                <w:color w:val="000000"/>
              </w:rPr>
              <w:br/>
            </w:r>
            <w:r w:rsidRPr="00F651EA">
              <w:rPr>
                <w:rFonts w:ascii="Times New Roman" w:hAnsi="Times New Roman" w:cs="Times New Roman"/>
                <w:color w:val="000000"/>
              </w:rPr>
              <w:t>Кожевенный завод»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</w:t>
            </w:r>
          </w:p>
          <w:p w:rsidR="00D1207F" w:rsidRP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</w:t>
            </w:r>
            <w:r w:rsidRPr="008E4E36">
              <w:rPr>
                <w:rFonts w:ascii="Times New Roman" w:hAnsi="Times New Roman" w:cs="Times New Roman"/>
                <w:color w:val="000000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D1207F" w:rsidP="0043625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№ 29м «12 км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>-</w:t>
            </w:r>
            <w:r w:rsidRPr="00F651E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651EA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651EA">
              <w:rPr>
                <w:rFonts w:ascii="Times New Roman" w:hAnsi="Times New Roman" w:cs="Times New Roman"/>
                <w:color w:val="000000"/>
              </w:rPr>
              <w:t>. «Перспективный»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II квартал </w:t>
            </w:r>
          </w:p>
          <w:p w:rsidR="00D1207F" w:rsidRPr="00F651EA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933940" w:rsidTr="005E5EB7">
        <w:tc>
          <w:tcPr>
            <w:tcW w:w="2269" w:type="dxa"/>
            <w:gridSpan w:val="2"/>
            <w:vMerge/>
          </w:tcPr>
          <w:p w:rsidR="00933940" w:rsidRPr="00F651EA" w:rsidRDefault="00933940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4E36" w:rsidRDefault="00933940" w:rsidP="00F21CA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940">
              <w:rPr>
                <w:rFonts w:ascii="Times New Roman" w:hAnsi="Times New Roman" w:cs="Times New Roman"/>
                <w:color w:val="000000"/>
              </w:rPr>
              <w:t>№ 21м</w:t>
            </w:r>
            <w:r w:rsidR="00CA62F1">
              <w:rPr>
                <w:rFonts w:ascii="Times New Roman" w:hAnsi="Times New Roman" w:cs="Times New Roman"/>
                <w:color w:val="000000"/>
              </w:rPr>
              <w:t xml:space="preserve"> «Ж</w:t>
            </w:r>
            <w:r w:rsidRPr="00933940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9339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933940">
              <w:rPr>
                <w:rFonts w:ascii="Times New Roman" w:hAnsi="Times New Roman" w:cs="Times New Roman"/>
                <w:color w:val="000000"/>
              </w:rPr>
              <w:t xml:space="preserve"> «Белый город»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94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3940" w:rsidRPr="00F651EA" w:rsidRDefault="00933940" w:rsidP="00F21CA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940">
              <w:rPr>
                <w:rFonts w:ascii="Times New Roman" w:hAnsi="Times New Roman" w:cs="Times New Roman"/>
                <w:color w:val="000000"/>
              </w:rPr>
              <w:t>ул. Чехова»</w:t>
            </w:r>
          </w:p>
        </w:tc>
        <w:tc>
          <w:tcPr>
            <w:tcW w:w="1559" w:type="dxa"/>
          </w:tcPr>
          <w:p w:rsidR="00C152BD" w:rsidRDefault="00933940" w:rsidP="00933940">
            <w:pPr>
              <w:jc w:val="center"/>
              <w:rPr>
                <w:rFonts w:ascii="Times New Roman" w:hAnsi="Times New Roman" w:cs="Times New Roman"/>
              </w:rPr>
            </w:pPr>
            <w:r w:rsidRPr="00933940">
              <w:rPr>
                <w:rFonts w:ascii="Times New Roman" w:hAnsi="Times New Roman" w:cs="Times New Roman"/>
              </w:rPr>
              <w:t xml:space="preserve">III квартал </w:t>
            </w:r>
          </w:p>
          <w:p w:rsidR="00933940" w:rsidRPr="00933940" w:rsidRDefault="00933940" w:rsidP="00933940">
            <w:pPr>
              <w:jc w:val="center"/>
              <w:rPr>
                <w:rFonts w:ascii="Times New Roman" w:hAnsi="Times New Roman" w:cs="Times New Roman"/>
              </w:rPr>
            </w:pPr>
            <w:r w:rsidRPr="00933940">
              <w:rPr>
                <w:rFonts w:ascii="Times New Roman" w:hAnsi="Times New Roman" w:cs="Times New Roman"/>
              </w:rPr>
              <w:t>2019</w:t>
            </w:r>
            <w:r w:rsidR="00C152B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933940" w:rsidRPr="00933940" w:rsidRDefault="00436252" w:rsidP="0093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33940" w:rsidRPr="00933940">
              <w:rPr>
                <w:rFonts w:ascii="Times New Roman" w:hAnsi="Times New Roman" w:cs="Times New Roman"/>
              </w:rPr>
              <w:t>омитет</w:t>
            </w:r>
          </w:p>
        </w:tc>
      </w:tr>
      <w:tr w:rsidR="00933940" w:rsidTr="005E5EB7">
        <w:tc>
          <w:tcPr>
            <w:tcW w:w="2269" w:type="dxa"/>
            <w:gridSpan w:val="2"/>
            <w:vMerge/>
          </w:tcPr>
          <w:p w:rsidR="00933940" w:rsidRPr="00F651EA" w:rsidRDefault="00933940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52BD" w:rsidRDefault="00CA62F1" w:rsidP="00C152B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15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933940" w:rsidRPr="00933940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 w:rsidR="00933940" w:rsidRPr="0093394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E5EB7">
              <w:rPr>
                <w:rFonts w:ascii="Times New Roman" w:hAnsi="Times New Roman" w:cs="Times New Roman"/>
                <w:color w:val="000000"/>
              </w:rPr>
              <w:t>«</w:t>
            </w:r>
            <w:r w:rsidR="00933940" w:rsidRPr="00933940">
              <w:rPr>
                <w:rFonts w:ascii="Times New Roman" w:hAnsi="Times New Roman" w:cs="Times New Roman"/>
                <w:color w:val="000000"/>
              </w:rPr>
              <w:t>Перспективный»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3940" w:rsidRPr="0093394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3940" w:rsidRPr="00933940" w:rsidRDefault="00933940" w:rsidP="00C152B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940">
              <w:rPr>
                <w:rFonts w:ascii="Times New Roman" w:hAnsi="Times New Roman" w:cs="Times New Roman"/>
                <w:color w:val="000000"/>
              </w:rPr>
              <w:t>ул. Атаманская»</w:t>
            </w:r>
          </w:p>
        </w:tc>
        <w:tc>
          <w:tcPr>
            <w:tcW w:w="1559" w:type="dxa"/>
          </w:tcPr>
          <w:p w:rsidR="00C152BD" w:rsidRDefault="00933940" w:rsidP="00933940">
            <w:pPr>
              <w:jc w:val="center"/>
              <w:rPr>
                <w:rFonts w:ascii="Times New Roman" w:hAnsi="Times New Roman" w:cs="Times New Roman"/>
              </w:rPr>
            </w:pPr>
            <w:r w:rsidRPr="00933940">
              <w:rPr>
                <w:rFonts w:ascii="Times New Roman" w:hAnsi="Times New Roman" w:cs="Times New Roman"/>
              </w:rPr>
              <w:t xml:space="preserve">III квартал </w:t>
            </w:r>
          </w:p>
          <w:p w:rsidR="00933940" w:rsidRPr="00933940" w:rsidRDefault="00933940" w:rsidP="00933940">
            <w:pPr>
              <w:jc w:val="center"/>
              <w:rPr>
                <w:rFonts w:ascii="Times New Roman" w:hAnsi="Times New Roman" w:cs="Times New Roman"/>
              </w:rPr>
            </w:pPr>
            <w:r w:rsidRPr="00933940">
              <w:rPr>
                <w:rFonts w:ascii="Times New Roman" w:hAnsi="Times New Roman" w:cs="Times New Roman"/>
              </w:rPr>
              <w:t>2019</w:t>
            </w:r>
            <w:r w:rsidR="00C152BD">
              <w:rPr>
                <w:rFonts w:ascii="Times New Roman" w:hAnsi="Times New Roman" w:cs="Times New Roman"/>
              </w:rPr>
              <w:t xml:space="preserve"> </w:t>
            </w:r>
            <w:r w:rsidR="00C152BD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126" w:type="dxa"/>
          </w:tcPr>
          <w:p w:rsidR="00933940" w:rsidRPr="00933940" w:rsidRDefault="00436252" w:rsidP="0093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33940" w:rsidRPr="00933940">
              <w:rPr>
                <w:rFonts w:ascii="Times New Roman" w:hAnsi="Times New Roman" w:cs="Times New Roman"/>
              </w:rPr>
              <w:t>омитет</w:t>
            </w:r>
          </w:p>
        </w:tc>
      </w:tr>
      <w:tr w:rsidR="00933940" w:rsidTr="005E5EB7">
        <w:tc>
          <w:tcPr>
            <w:tcW w:w="2269" w:type="dxa"/>
            <w:gridSpan w:val="2"/>
            <w:vMerge/>
          </w:tcPr>
          <w:p w:rsidR="00933940" w:rsidRPr="00F651EA" w:rsidRDefault="00933940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33940" w:rsidRPr="00933940" w:rsidRDefault="00933940" w:rsidP="0043625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940">
              <w:rPr>
                <w:rFonts w:ascii="Times New Roman" w:hAnsi="Times New Roman" w:cs="Times New Roman"/>
                <w:color w:val="000000"/>
              </w:rPr>
              <w:t>№ 8 «ул. Атаманская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940">
              <w:rPr>
                <w:rFonts w:ascii="Times New Roman" w:hAnsi="Times New Roman" w:cs="Times New Roman"/>
                <w:color w:val="000000"/>
              </w:rPr>
              <w:t xml:space="preserve">-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933940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93394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3394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E5EB7">
              <w:rPr>
                <w:rFonts w:ascii="Times New Roman" w:hAnsi="Times New Roman" w:cs="Times New Roman"/>
                <w:color w:val="000000"/>
              </w:rPr>
              <w:t>«</w:t>
            </w:r>
            <w:r w:rsidRPr="00933940">
              <w:rPr>
                <w:rFonts w:ascii="Times New Roman" w:hAnsi="Times New Roman" w:cs="Times New Roman"/>
                <w:color w:val="000000"/>
              </w:rPr>
              <w:t>Перспективный»</w:t>
            </w:r>
          </w:p>
        </w:tc>
        <w:tc>
          <w:tcPr>
            <w:tcW w:w="1559" w:type="dxa"/>
          </w:tcPr>
          <w:p w:rsidR="00C152BD" w:rsidRDefault="00933940" w:rsidP="00933940">
            <w:pPr>
              <w:jc w:val="center"/>
              <w:rPr>
                <w:rFonts w:ascii="Times New Roman" w:hAnsi="Times New Roman" w:cs="Times New Roman"/>
              </w:rPr>
            </w:pPr>
            <w:r w:rsidRPr="00933940">
              <w:rPr>
                <w:rFonts w:ascii="Times New Roman" w:hAnsi="Times New Roman" w:cs="Times New Roman"/>
              </w:rPr>
              <w:t xml:space="preserve">III квартал </w:t>
            </w:r>
          </w:p>
          <w:p w:rsidR="00933940" w:rsidRPr="00933940" w:rsidRDefault="00933940" w:rsidP="00933940">
            <w:pPr>
              <w:jc w:val="center"/>
              <w:rPr>
                <w:rFonts w:ascii="Times New Roman" w:hAnsi="Times New Roman" w:cs="Times New Roman"/>
              </w:rPr>
            </w:pPr>
            <w:r w:rsidRPr="00933940">
              <w:rPr>
                <w:rFonts w:ascii="Times New Roman" w:hAnsi="Times New Roman" w:cs="Times New Roman"/>
              </w:rPr>
              <w:t>2019</w:t>
            </w:r>
            <w:r w:rsidR="00C152BD">
              <w:rPr>
                <w:rFonts w:ascii="Times New Roman" w:hAnsi="Times New Roman" w:cs="Times New Roman"/>
              </w:rPr>
              <w:t xml:space="preserve"> </w:t>
            </w:r>
            <w:r w:rsidR="00C152BD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126" w:type="dxa"/>
          </w:tcPr>
          <w:p w:rsidR="00933940" w:rsidRPr="00933940" w:rsidRDefault="00436252" w:rsidP="0093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33940" w:rsidRPr="00933940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D1207F" w:rsidP="008E4E3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№ 48 «ж/к «Олимпийский»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>-            ул. Чехова»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III квартал </w:t>
            </w:r>
          </w:p>
          <w:p w:rsidR="00D1207F" w:rsidRPr="00F651EA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CA62F1" w:rsidP="008E4E3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9м «Автовокзал «Восточный»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«Ж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/к «Перспективный»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II квартал </w:t>
            </w:r>
          </w:p>
          <w:p w:rsidR="00D1207F" w:rsidRP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073BFD"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D1207F" w:rsidP="008E4E3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№ 33м «531-й квартал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="00933940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F651EA">
              <w:rPr>
                <w:rFonts w:ascii="Times New Roman" w:hAnsi="Times New Roman" w:cs="Times New Roman"/>
                <w:color w:val="000000"/>
              </w:rPr>
              <w:t>Селекционная</w:t>
            </w:r>
            <w:proofErr w:type="gramEnd"/>
            <w:r w:rsidRPr="00F651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III квартал </w:t>
            </w:r>
          </w:p>
          <w:p w:rsidR="00D1207F" w:rsidRPr="00C152BD" w:rsidRDefault="00D1207F" w:rsidP="00843F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073BFD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D1207F" w:rsidRPr="00F651EA" w:rsidRDefault="00530B75" w:rsidP="0043625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 xml:space="preserve">3. </w:t>
            </w:r>
            <w:r w:rsidR="00D1207F" w:rsidRPr="00F651EA">
              <w:rPr>
                <w:rFonts w:ascii="Times New Roman" w:hAnsi="Times New Roman" w:cs="Times New Roman"/>
              </w:rPr>
              <w:t>Отмена</w:t>
            </w:r>
            <w:r w:rsidR="00436252">
              <w:rPr>
                <w:rFonts w:ascii="Times New Roman" w:hAnsi="Times New Roman" w:cs="Times New Roman"/>
              </w:rPr>
              <w:t xml:space="preserve"> муниципальных м</w:t>
            </w:r>
            <w:bookmarkStart w:id="0" w:name="_GoBack"/>
            <w:bookmarkEnd w:id="0"/>
            <w:r w:rsidR="00436252">
              <w:rPr>
                <w:rFonts w:ascii="Times New Roman" w:hAnsi="Times New Roman" w:cs="Times New Roman"/>
              </w:rPr>
              <w:t>аршрутов</w:t>
            </w:r>
          </w:p>
        </w:tc>
        <w:tc>
          <w:tcPr>
            <w:tcW w:w="7229" w:type="dxa"/>
            <w:gridSpan w:val="3"/>
          </w:tcPr>
          <w:p w:rsidR="00D1207F" w:rsidRPr="00F651EA" w:rsidRDefault="00436252" w:rsidP="00436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1207F" w:rsidRPr="00F651E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планируется</w:t>
            </w:r>
          </w:p>
        </w:tc>
      </w:tr>
      <w:tr w:rsidR="00D1207F" w:rsidTr="00073BFD"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C33AF" w:rsidRDefault="00530B75" w:rsidP="005463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4. </w:t>
            </w:r>
            <w:r w:rsidR="00843FDC">
              <w:rPr>
                <w:rFonts w:ascii="Times New Roman" w:hAnsi="Times New Roman" w:cs="Times New Roman"/>
              </w:rPr>
              <w:t>График з</w:t>
            </w:r>
            <w:r w:rsidR="00D1207F" w:rsidRPr="00F651EA">
              <w:rPr>
                <w:rFonts w:ascii="Times New Roman" w:hAnsi="Times New Roman" w:cs="Times New Roman"/>
              </w:rPr>
              <w:t>аключени</w:t>
            </w:r>
            <w:r w:rsidR="00843FDC">
              <w:rPr>
                <w:rFonts w:ascii="Times New Roman" w:hAnsi="Times New Roman" w:cs="Times New Roman"/>
              </w:rPr>
              <w:t>я</w:t>
            </w:r>
            <w:r w:rsidR="00D1207F" w:rsidRPr="00F651EA">
              <w:rPr>
                <w:rFonts w:ascii="Times New Roman" w:hAnsi="Times New Roman" w:cs="Times New Roman"/>
              </w:rPr>
              <w:t xml:space="preserve"> муниципальных контрактов</w:t>
            </w:r>
            <w:r w:rsidR="00843FDC">
              <w:rPr>
                <w:rFonts w:ascii="Times New Roman" w:hAnsi="Times New Roman" w:cs="Times New Roman"/>
              </w:rPr>
              <w:t xml:space="preserve"> в отношении регулярных перевозок, осуществляемых по муниципальным маршрутам по регулируемым тарифам, частично или полностью оплачиваемых </w:t>
            </w:r>
            <w:proofErr w:type="gramStart"/>
            <w:r w:rsidR="00843FDC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D1207F" w:rsidRPr="00F651EA" w:rsidRDefault="00843FDC" w:rsidP="005463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средств бюджета города Ставрополя</w:t>
            </w:r>
          </w:p>
        </w:tc>
        <w:tc>
          <w:tcPr>
            <w:tcW w:w="3544" w:type="dxa"/>
          </w:tcPr>
          <w:p w:rsidR="00D1207F" w:rsidRPr="00F651EA" w:rsidRDefault="00D1207F" w:rsidP="0043625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№ 62м «</w:t>
            </w:r>
            <w:proofErr w:type="spellStart"/>
            <w:r w:rsidRPr="00F651EA">
              <w:rPr>
                <w:rFonts w:ascii="Times New Roman" w:hAnsi="Times New Roman" w:cs="Times New Roman"/>
                <w:color w:val="000000"/>
              </w:rPr>
              <w:t>СтавНИИГиМ</w:t>
            </w:r>
            <w:proofErr w:type="spellEnd"/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651EA">
              <w:rPr>
                <w:rFonts w:ascii="Times New Roman" w:hAnsi="Times New Roman" w:cs="Times New Roman"/>
                <w:color w:val="000000"/>
              </w:rPr>
              <w:t>Крестовоздвиженское</w:t>
            </w:r>
            <w:proofErr w:type="spellEnd"/>
            <w:r w:rsidRPr="00F651EA">
              <w:rPr>
                <w:rFonts w:ascii="Times New Roman" w:hAnsi="Times New Roman" w:cs="Times New Roman"/>
                <w:color w:val="000000"/>
              </w:rPr>
              <w:t xml:space="preserve"> кладбище»</w:t>
            </w:r>
          </w:p>
        </w:tc>
        <w:tc>
          <w:tcPr>
            <w:tcW w:w="1559" w:type="dxa"/>
          </w:tcPr>
          <w:p w:rsidR="00D1207F" w:rsidRPr="00F651EA" w:rsidRDefault="00D1207F" w:rsidP="005E5EB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 xml:space="preserve">I - 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5EB7">
              <w:rPr>
                <w:rFonts w:ascii="Times New Roman" w:hAnsi="Times New Roman" w:cs="Times New Roman"/>
                <w:color w:val="000000"/>
              </w:rPr>
              <w:t>к</w:t>
            </w:r>
            <w:r w:rsidRPr="00F651EA">
              <w:rPr>
                <w:rFonts w:ascii="Times New Roman" w:hAnsi="Times New Roman" w:cs="Times New Roman"/>
                <w:color w:val="000000"/>
              </w:rPr>
              <w:t>вартал</w:t>
            </w:r>
            <w:r w:rsidR="005E5EB7"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F651EA">
              <w:rPr>
                <w:rFonts w:ascii="Times New Roman" w:hAnsi="Times New Roman" w:cs="Times New Roman"/>
                <w:color w:val="000000"/>
              </w:rPr>
              <w:t>2019</w:t>
            </w:r>
            <w:r w:rsidR="005E5EB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  <w:tcBorders>
              <w:bottom w:val="nil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D1207F" w:rsidP="0043625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№ 50 «</w:t>
            </w:r>
            <w:proofErr w:type="spellStart"/>
            <w:r w:rsidRPr="00F651EA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651EA">
              <w:rPr>
                <w:rFonts w:ascii="Times New Roman" w:hAnsi="Times New Roman" w:cs="Times New Roman"/>
                <w:color w:val="000000"/>
              </w:rPr>
              <w:t>. «Перспективный»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>- Автостанция № 1»</w:t>
            </w:r>
          </w:p>
        </w:tc>
        <w:tc>
          <w:tcPr>
            <w:tcW w:w="1559" w:type="dxa"/>
          </w:tcPr>
          <w:p w:rsidR="00D1207F" w:rsidRPr="00C152BD" w:rsidRDefault="00D1207F" w:rsidP="00843FDC">
            <w:pPr>
              <w:autoSpaceDE w:val="0"/>
              <w:autoSpaceDN w:val="0"/>
              <w:adjustRightInd w:val="0"/>
              <w:ind w:left="34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 - 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  <w:r w:rsidR="005E5EB7">
              <w:rPr>
                <w:rFonts w:ascii="Times New Roman" w:hAnsi="Times New Roman" w:cs="Times New Roman"/>
                <w:color w:val="000000"/>
              </w:rPr>
              <w:t>ы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  <w:tcBorders>
              <w:bottom w:val="nil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207F" w:rsidRPr="00F651EA" w:rsidRDefault="00B51B36" w:rsidP="00843F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1,  </w:t>
            </w:r>
            <w:r w:rsidR="00933940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путь следования: «</w:t>
            </w:r>
            <w:proofErr w:type="spellStart"/>
            <w:r w:rsidR="00843FDC" w:rsidRPr="00F651EA">
              <w:rPr>
                <w:rFonts w:ascii="Times New Roman" w:hAnsi="Times New Roman" w:cs="Times New Roman"/>
                <w:color w:val="000000"/>
              </w:rPr>
              <w:t>СтавНИИГиМ</w:t>
            </w:r>
            <w:proofErr w:type="spellEnd"/>
            <w:r w:rsidR="008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6252">
              <w:rPr>
                <w:rFonts w:ascii="Times New Roman" w:hAnsi="Times New Roman" w:cs="Times New Roman"/>
                <w:color w:val="000000"/>
              </w:rPr>
              <w:t>-</w:t>
            </w:r>
            <w:r w:rsidR="008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ж/д Вокзал»</w:t>
            </w:r>
          </w:p>
        </w:tc>
        <w:tc>
          <w:tcPr>
            <w:tcW w:w="1559" w:type="dxa"/>
          </w:tcPr>
          <w:p w:rsidR="00D1207F" w:rsidRPr="00C152BD" w:rsidRDefault="00D1207F" w:rsidP="00843F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  <w:tcBorders>
              <w:bottom w:val="nil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3FBF" w:rsidRDefault="00B51B36" w:rsidP="00843F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2, </w:t>
            </w:r>
            <w:r w:rsidR="00933940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путь следования: </w:t>
            </w:r>
          </w:p>
          <w:p w:rsidR="00D1207F" w:rsidRPr="00F651EA" w:rsidRDefault="00C152BD" w:rsidP="00843F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«45 П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араллель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3FD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 ж/д Вокзал»</w:t>
            </w:r>
          </w:p>
        </w:tc>
        <w:tc>
          <w:tcPr>
            <w:tcW w:w="1559" w:type="dxa"/>
          </w:tcPr>
          <w:p w:rsidR="00D1207F" w:rsidRPr="00C152BD" w:rsidRDefault="00D1207F" w:rsidP="00843F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  <w:tcBorders>
              <w:bottom w:val="nil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52BD" w:rsidRDefault="00B51B36" w:rsidP="007010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4, </w:t>
            </w:r>
            <w:r w:rsidR="00933940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путь следования:</w:t>
            </w:r>
            <w:r w:rsidR="007010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52BD" w:rsidRDefault="0070106A" w:rsidP="007010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Автоколонна 1564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D1207F" w:rsidRPr="00F651EA" w:rsidRDefault="00D1207F" w:rsidP="0070106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51EA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F651EA">
              <w:rPr>
                <w:rFonts w:ascii="Times New Roman" w:hAnsi="Times New Roman" w:cs="Times New Roman"/>
                <w:color w:val="000000"/>
              </w:rPr>
              <w:t>/д Вокзал»</w:t>
            </w:r>
          </w:p>
        </w:tc>
        <w:tc>
          <w:tcPr>
            <w:tcW w:w="1559" w:type="dxa"/>
          </w:tcPr>
          <w:p w:rsidR="00D1207F" w:rsidRPr="00C152BD" w:rsidRDefault="00D1207F" w:rsidP="00843F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c>
          <w:tcPr>
            <w:tcW w:w="2269" w:type="dxa"/>
            <w:gridSpan w:val="2"/>
            <w:vMerge/>
            <w:tcBorders>
              <w:bottom w:val="nil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3FBF" w:rsidRDefault="00B51B36" w:rsidP="00933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5, </w:t>
            </w:r>
            <w:r w:rsidR="00933940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путь следования: </w:t>
            </w:r>
          </w:p>
          <w:p w:rsidR="00D1207F" w:rsidRPr="00F651EA" w:rsidRDefault="00D1207F" w:rsidP="00FF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«9</w:t>
            </w:r>
            <w:r w:rsidR="00FA3FBF">
              <w:rPr>
                <w:rFonts w:ascii="Times New Roman" w:hAnsi="Times New Roman" w:cs="Times New Roman"/>
                <w:color w:val="000000"/>
              </w:rPr>
              <w:t>-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я Поликлиника </w:t>
            </w:r>
            <w:r w:rsidR="00FA3FBF">
              <w:rPr>
                <w:rFonts w:ascii="Times New Roman" w:hAnsi="Times New Roman" w:cs="Times New Roman"/>
                <w:color w:val="000000"/>
              </w:rPr>
              <w:t>–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F4BB1">
              <w:rPr>
                <w:rFonts w:ascii="Times New Roman" w:hAnsi="Times New Roman" w:cs="Times New Roman"/>
                <w:color w:val="000000"/>
              </w:rPr>
              <w:t>Детская городская больница № 2</w:t>
            </w:r>
            <w:r w:rsidRPr="00F651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D1207F" w:rsidRPr="00F651EA" w:rsidRDefault="00D1207F" w:rsidP="00843F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2020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D1207F" w:rsidTr="005E5EB7">
        <w:trPr>
          <w:trHeight w:val="1046"/>
        </w:trPr>
        <w:tc>
          <w:tcPr>
            <w:tcW w:w="2269" w:type="dxa"/>
            <w:gridSpan w:val="2"/>
            <w:vMerge/>
            <w:tcBorders>
              <w:bottom w:val="nil"/>
            </w:tcBorders>
          </w:tcPr>
          <w:p w:rsidR="00D1207F" w:rsidRPr="00F651EA" w:rsidRDefault="00D1207F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153D7" w:rsidRDefault="00B51B36" w:rsidP="00D1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6, </w:t>
            </w:r>
            <w:r w:rsidR="00933940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путь следования:</w:t>
            </w:r>
          </w:p>
          <w:p w:rsidR="00F153D7" w:rsidRDefault="00D1207F" w:rsidP="00D1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«Автоколонна 1564</w:t>
            </w:r>
            <w:r w:rsidR="00F153D7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4362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136ED" w:rsidRPr="00F651EA" w:rsidRDefault="00FF4BB1" w:rsidP="008E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9-я Поликлиника</w:t>
            </w:r>
            <w:r w:rsidR="00D1207F" w:rsidRPr="00F651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D1207F" w:rsidRPr="00F651EA" w:rsidRDefault="00D1207F" w:rsidP="00843F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2019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126" w:type="dxa"/>
          </w:tcPr>
          <w:p w:rsidR="00D1207F" w:rsidRPr="00F651EA" w:rsidRDefault="00436252" w:rsidP="002808E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D1207F"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8A566C" w:rsidTr="005E5EB7">
        <w:trPr>
          <w:trHeight w:val="37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C" w:rsidRDefault="008A566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8C" w:rsidRDefault="00C42B8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8C" w:rsidRDefault="00C42B8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8C" w:rsidRDefault="00C42B8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A566C" w:rsidRDefault="008A566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7,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путь следования: </w:t>
            </w:r>
          </w:p>
          <w:p w:rsidR="008A566C" w:rsidRDefault="008A566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«9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651EA">
              <w:rPr>
                <w:rFonts w:ascii="Times New Roman" w:hAnsi="Times New Roman" w:cs="Times New Roman"/>
                <w:color w:val="000000"/>
              </w:rPr>
              <w:t>я Поликлиника</w:t>
            </w:r>
            <w:r w:rsidR="00F153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8A566C" w:rsidRPr="00F651EA" w:rsidRDefault="008A566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204 квартал»</w:t>
            </w:r>
          </w:p>
        </w:tc>
        <w:tc>
          <w:tcPr>
            <w:tcW w:w="1559" w:type="dxa"/>
          </w:tcPr>
          <w:p w:rsidR="008A566C" w:rsidRPr="00C152BD" w:rsidRDefault="008A566C" w:rsidP="00C152B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C152BD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8A566C" w:rsidRPr="00F651EA" w:rsidRDefault="008A566C" w:rsidP="00C152BD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C42B8C" w:rsidTr="005E5EB7">
        <w:trPr>
          <w:trHeight w:val="28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C" w:rsidRPr="00F651EA" w:rsidRDefault="00C42B8C" w:rsidP="003A49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2B8C" w:rsidRPr="00F651EA" w:rsidRDefault="00C42B8C" w:rsidP="003A49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42B8C" w:rsidRPr="00F651EA" w:rsidRDefault="00C42B8C" w:rsidP="003A49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42B8C" w:rsidRPr="00F651EA" w:rsidRDefault="00C42B8C" w:rsidP="003A49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4</w:t>
            </w:r>
          </w:p>
        </w:tc>
      </w:tr>
      <w:tr w:rsidR="00C42B8C" w:rsidTr="005E5EB7">
        <w:trPr>
          <w:trHeight w:val="3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B8C" w:rsidRDefault="00C42B8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2B8C" w:rsidRDefault="00C42B8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F651EA">
              <w:rPr>
                <w:rFonts w:ascii="Times New Roman" w:hAnsi="Times New Roman" w:cs="Times New Roman"/>
                <w:color w:val="000000"/>
              </w:rPr>
              <w:t>роллейбусный маршрут № 8,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путь следования:</w:t>
            </w:r>
          </w:p>
          <w:p w:rsidR="00C42B8C" w:rsidRPr="00F651EA" w:rsidRDefault="00C42B8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«45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F651EA">
              <w:rPr>
                <w:rFonts w:ascii="Times New Roman" w:hAnsi="Times New Roman" w:cs="Times New Roman"/>
                <w:color w:val="000000"/>
              </w:rPr>
              <w:t>араллель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F53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955">
              <w:rPr>
                <w:rFonts w:ascii="Times New Roman" w:hAnsi="Times New Roman" w:cs="Times New Roman"/>
                <w:color w:val="000000"/>
              </w:rPr>
              <w:t>Инструментальный завод</w:t>
            </w:r>
            <w:r w:rsidRPr="00F651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C42B8C" w:rsidRPr="00C152BD" w:rsidRDefault="00C42B8C" w:rsidP="00C152B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 квартал 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126" w:type="dxa"/>
          </w:tcPr>
          <w:p w:rsidR="00C42B8C" w:rsidRPr="00F651EA" w:rsidRDefault="00C42B8C" w:rsidP="00C152BD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C42B8C" w:rsidTr="005E5EB7">
        <w:trPr>
          <w:trHeight w:val="37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B8C" w:rsidRDefault="00C42B8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2B8C" w:rsidRDefault="00C42B8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9,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путь следования: </w:t>
            </w:r>
          </w:p>
          <w:p w:rsidR="00C42B8C" w:rsidRPr="00F651EA" w:rsidRDefault="00C42B8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«9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651EA">
              <w:rPr>
                <w:rFonts w:ascii="Times New Roman" w:hAnsi="Times New Roman" w:cs="Times New Roman"/>
                <w:color w:val="000000"/>
              </w:rPr>
              <w:t>я Поликлиника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51EA">
              <w:rPr>
                <w:rFonts w:ascii="Times New Roman" w:hAnsi="Times New Roman" w:cs="Times New Roman"/>
                <w:color w:val="000000"/>
              </w:rPr>
              <w:t>- ж/д Вокзал»</w:t>
            </w:r>
          </w:p>
        </w:tc>
        <w:tc>
          <w:tcPr>
            <w:tcW w:w="1559" w:type="dxa"/>
          </w:tcPr>
          <w:p w:rsidR="00C42B8C" w:rsidRPr="00C152BD" w:rsidRDefault="00C42B8C" w:rsidP="00C152B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IV квартал 201</w:t>
            </w:r>
            <w:r w:rsidRPr="00F651E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C42B8C" w:rsidRPr="00F651EA" w:rsidRDefault="00C42B8C" w:rsidP="00C152BD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C42B8C" w:rsidTr="005E5EB7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C" w:rsidRDefault="00C42B8C" w:rsidP="00B37E1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2B8C" w:rsidRDefault="00C42B8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F651EA">
              <w:rPr>
                <w:rFonts w:ascii="Times New Roman" w:hAnsi="Times New Roman" w:cs="Times New Roman"/>
                <w:color w:val="000000"/>
              </w:rPr>
              <w:t xml:space="preserve">роллейбусный маршрут № 11, путь следования: </w:t>
            </w:r>
          </w:p>
          <w:p w:rsidR="00C42B8C" w:rsidRPr="00F651EA" w:rsidRDefault="00C42B8C" w:rsidP="00C1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651E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651EA">
              <w:rPr>
                <w:rFonts w:ascii="Times New Roman" w:hAnsi="Times New Roman" w:cs="Times New Roman"/>
                <w:color w:val="000000"/>
              </w:rPr>
              <w:t>я Поликлиника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651EA">
              <w:rPr>
                <w:rFonts w:ascii="Times New Roman" w:hAnsi="Times New Roman" w:cs="Times New Roman"/>
                <w:color w:val="000000"/>
              </w:rPr>
              <w:t>ж/д Вокзал»</w:t>
            </w:r>
          </w:p>
        </w:tc>
        <w:tc>
          <w:tcPr>
            <w:tcW w:w="1559" w:type="dxa"/>
          </w:tcPr>
          <w:p w:rsidR="00C42B8C" w:rsidRPr="00F651EA" w:rsidRDefault="00C42B8C" w:rsidP="00C152B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EA">
              <w:rPr>
                <w:rFonts w:ascii="Times New Roman" w:hAnsi="Times New Roman" w:cs="Times New Roman"/>
                <w:color w:val="000000"/>
              </w:rPr>
              <w:t>IV квартал 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</w:tcPr>
          <w:p w:rsidR="00C42B8C" w:rsidRPr="00F651EA" w:rsidRDefault="00C42B8C" w:rsidP="00C152BD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F651EA">
              <w:rPr>
                <w:rFonts w:ascii="Times New Roman" w:hAnsi="Times New Roman" w:cs="Times New Roman"/>
              </w:rPr>
              <w:t>омитет</w:t>
            </w:r>
          </w:p>
        </w:tc>
      </w:tr>
      <w:tr w:rsidR="00C42B8C" w:rsidTr="005E5EB7">
        <w:trPr>
          <w:trHeight w:val="1421"/>
        </w:trPr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C42B8C" w:rsidRPr="00F651EA" w:rsidRDefault="00C42B8C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5. Проведение открытых конкурсов на право осуществления перевозок по муниципальным маршрутам</w:t>
            </w:r>
          </w:p>
        </w:tc>
        <w:tc>
          <w:tcPr>
            <w:tcW w:w="7229" w:type="dxa"/>
            <w:gridSpan w:val="3"/>
          </w:tcPr>
          <w:p w:rsidR="00C42B8C" w:rsidRPr="00F651EA" w:rsidRDefault="00C42B8C" w:rsidP="00C15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51E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планируется</w:t>
            </w:r>
          </w:p>
        </w:tc>
      </w:tr>
      <w:tr w:rsidR="00C42B8C" w:rsidTr="005E5EB7">
        <w:trPr>
          <w:trHeight w:val="1401"/>
        </w:trPr>
        <w:tc>
          <w:tcPr>
            <w:tcW w:w="2269" w:type="dxa"/>
            <w:gridSpan w:val="2"/>
          </w:tcPr>
          <w:p w:rsidR="00C42B8C" w:rsidRPr="00F651EA" w:rsidRDefault="00C42B8C" w:rsidP="00C152B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F651EA">
              <w:rPr>
                <w:rFonts w:ascii="Times New Roman" w:hAnsi="Times New Roman" w:cs="Times New Roman"/>
              </w:rPr>
              <w:t>6. Изменение вида регулярных перевозок, осуществляемых по муниципальным маршрутам</w:t>
            </w:r>
          </w:p>
        </w:tc>
        <w:tc>
          <w:tcPr>
            <w:tcW w:w="7229" w:type="dxa"/>
            <w:gridSpan w:val="3"/>
          </w:tcPr>
          <w:p w:rsidR="00C42B8C" w:rsidRPr="00F651EA" w:rsidRDefault="00C42B8C" w:rsidP="00C15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51E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планируется</w:t>
            </w:r>
          </w:p>
        </w:tc>
      </w:tr>
    </w:tbl>
    <w:p w:rsidR="00546396" w:rsidRDefault="00546396" w:rsidP="00B37E1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BD" w:rsidRDefault="00440A4C" w:rsidP="00B37E1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4C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чание: </w:t>
      </w:r>
    </w:p>
    <w:p w:rsidR="00796940" w:rsidRPr="00440A4C" w:rsidRDefault="00C152BD" w:rsidP="00B37E1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0A4C">
        <w:rPr>
          <w:rFonts w:ascii="Times New Roman" w:hAnsi="Times New Roman" w:cs="Times New Roman"/>
          <w:sz w:val="28"/>
          <w:szCs w:val="28"/>
        </w:rPr>
        <w:t>становление, изменение</w:t>
      </w:r>
      <w:r w:rsidR="00440A4C" w:rsidRPr="00440A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40A4C">
        <w:rPr>
          <w:rFonts w:ascii="Times New Roman" w:hAnsi="Times New Roman" w:cs="Times New Roman"/>
          <w:sz w:val="28"/>
          <w:szCs w:val="28"/>
        </w:rPr>
        <w:t xml:space="preserve">ых </w:t>
      </w:r>
      <w:r w:rsidR="00440A4C" w:rsidRPr="00440A4C">
        <w:rPr>
          <w:rFonts w:ascii="Times New Roman" w:hAnsi="Times New Roman" w:cs="Times New Roman"/>
          <w:sz w:val="28"/>
          <w:szCs w:val="28"/>
        </w:rPr>
        <w:t>маршрут</w:t>
      </w:r>
      <w:r w:rsidR="00440A4C">
        <w:rPr>
          <w:rFonts w:ascii="Times New Roman" w:hAnsi="Times New Roman" w:cs="Times New Roman"/>
          <w:sz w:val="28"/>
          <w:szCs w:val="28"/>
        </w:rPr>
        <w:t>ов по инициативе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перевозки или осуществляющих регулярные перевозки по муниципальному маршруту, органов государственной власти,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города Ставрополя, комитета</w:t>
      </w:r>
      <w:r w:rsidR="00440A4C" w:rsidRPr="00440A4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40A4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40A4C" w:rsidRPr="00440A4C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города Ставрополя.</w:t>
      </w:r>
    </w:p>
    <w:p w:rsidR="00BC37A7" w:rsidRDefault="00BC37A7" w:rsidP="00B37E1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4C" w:rsidRDefault="00440A4C" w:rsidP="00B37E1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67" w:rsidRDefault="00884E67" w:rsidP="00B37E1F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A7" w:rsidRDefault="001177B9" w:rsidP="00826DEB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BC3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полняющий</w:t>
      </w:r>
      <w:proofErr w:type="gramEnd"/>
      <w:r w:rsidR="00BC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61657" w:rsidRDefault="00BC37A7" w:rsidP="00893B9D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 w:rsidR="0011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826DEB"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661657" w:rsidRDefault="00826DEB" w:rsidP="00893B9D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661657" w:rsidRDefault="00BC37A7" w:rsidP="00893B9D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6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</w:p>
    <w:p w:rsidR="00661657" w:rsidRDefault="00BC37A7" w:rsidP="00893B9D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 и архива</w:t>
      </w:r>
    </w:p>
    <w:p w:rsidR="00826DEB" w:rsidRPr="00826DEB" w:rsidRDefault="00BC37A7" w:rsidP="00893B9D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="00826DEB"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77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Бухарова</w:t>
      </w:r>
    </w:p>
    <w:sectPr w:rsidR="00826DEB" w:rsidRPr="00826DEB" w:rsidSect="00C42B8C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BD" w:rsidRDefault="00C152BD">
      <w:pPr>
        <w:spacing w:after="0" w:line="240" w:lineRule="auto"/>
      </w:pPr>
      <w:r>
        <w:separator/>
      </w:r>
    </w:p>
  </w:endnote>
  <w:endnote w:type="continuationSeparator" w:id="0">
    <w:p w:rsidR="00C152BD" w:rsidRDefault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BD" w:rsidRDefault="00C152BD">
      <w:pPr>
        <w:spacing w:after="0" w:line="240" w:lineRule="auto"/>
      </w:pPr>
      <w:r>
        <w:separator/>
      </w:r>
    </w:p>
  </w:footnote>
  <w:footnote w:type="continuationSeparator" w:id="0">
    <w:p w:rsidR="00C152BD" w:rsidRDefault="00C1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BD" w:rsidRPr="00C42B8C" w:rsidRDefault="00C42B8C" w:rsidP="00C42B8C">
    <w:pPr>
      <w:pStyle w:val="a3"/>
      <w:jc w:val="center"/>
      <w:rPr>
        <w:rFonts w:ascii="Times New Roman" w:hAnsi="Times New Roman"/>
        <w:sz w:val="28"/>
        <w:szCs w:val="28"/>
      </w:rPr>
    </w:pPr>
    <w:r w:rsidRPr="00C42B8C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C" w:rsidRDefault="00C42B8C">
    <w:pPr>
      <w:pStyle w:val="a3"/>
      <w:jc w:val="center"/>
    </w:pPr>
  </w:p>
  <w:p w:rsidR="00C42B8C" w:rsidRDefault="00C42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50"/>
    <w:rsid w:val="000403A6"/>
    <w:rsid w:val="00041159"/>
    <w:rsid w:val="00073BFD"/>
    <w:rsid w:val="000774F9"/>
    <w:rsid w:val="000B70C1"/>
    <w:rsid w:val="000D39E1"/>
    <w:rsid w:val="000E7070"/>
    <w:rsid w:val="001177B9"/>
    <w:rsid w:val="00125B66"/>
    <w:rsid w:val="00151021"/>
    <w:rsid w:val="001628EE"/>
    <w:rsid w:val="00173DB5"/>
    <w:rsid w:val="00176783"/>
    <w:rsid w:val="001D699B"/>
    <w:rsid w:val="00200578"/>
    <w:rsid w:val="00200B19"/>
    <w:rsid w:val="00206CE5"/>
    <w:rsid w:val="00206F17"/>
    <w:rsid w:val="0023004A"/>
    <w:rsid w:val="00256EF5"/>
    <w:rsid w:val="00260D74"/>
    <w:rsid w:val="002678A4"/>
    <w:rsid w:val="00275EFC"/>
    <w:rsid w:val="002808E4"/>
    <w:rsid w:val="002974C4"/>
    <w:rsid w:val="002F1DB7"/>
    <w:rsid w:val="002F27A5"/>
    <w:rsid w:val="002F311F"/>
    <w:rsid w:val="002F6B54"/>
    <w:rsid w:val="00312942"/>
    <w:rsid w:val="003136ED"/>
    <w:rsid w:val="00313787"/>
    <w:rsid w:val="00314126"/>
    <w:rsid w:val="00315889"/>
    <w:rsid w:val="00324ADA"/>
    <w:rsid w:val="003574E3"/>
    <w:rsid w:val="00367475"/>
    <w:rsid w:val="003841A6"/>
    <w:rsid w:val="003C36B7"/>
    <w:rsid w:val="003D2436"/>
    <w:rsid w:val="003D7EB2"/>
    <w:rsid w:val="003E5181"/>
    <w:rsid w:val="003E67C3"/>
    <w:rsid w:val="00405097"/>
    <w:rsid w:val="00411661"/>
    <w:rsid w:val="00415E6B"/>
    <w:rsid w:val="00434B25"/>
    <w:rsid w:val="00436252"/>
    <w:rsid w:val="00440A4C"/>
    <w:rsid w:val="00447747"/>
    <w:rsid w:val="0045065B"/>
    <w:rsid w:val="004546CB"/>
    <w:rsid w:val="00463FAC"/>
    <w:rsid w:val="004A08B1"/>
    <w:rsid w:val="004D3473"/>
    <w:rsid w:val="004D4603"/>
    <w:rsid w:val="0050468D"/>
    <w:rsid w:val="00516462"/>
    <w:rsid w:val="005243AB"/>
    <w:rsid w:val="00530B75"/>
    <w:rsid w:val="00546396"/>
    <w:rsid w:val="00580B5D"/>
    <w:rsid w:val="005813B6"/>
    <w:rsid w:val="005840DA"/>
    <w:rsid w:val="005B21C8"/>
    <w:rsid w:val="005B5DB9"/>
    <w:rsid w:val="005D00F1"/>
    <w:rsid w:val="005D0DA2"/>
    <w:rsid w:val="005E4F09"/>
    <w:rsid w:val="005E5EB7"/>
    <w:rsid w:val="005E7713"/>
    <w:rsid w:val="00612261"/>
    <w:rsid w:val="00617863"/>
    <w:rsid w:val="00624E0B"/>
    <w:rsid w:val="00650F92"/>
    <w:rsid w:val="00660A21"/>
    <w:rsid w:val="00661657"/>
    <w:rsid w:val="00666A4A"/>
    <w:rsid w:val="00667D4A"/>
    <w:rsid w:val="0068300C"/>
    <w:rsid w:val="0069158C"/>
    <w:rsid w:val="006C4066"/>
    <w:rsid w:val="006C6EF6"/>
    <w:rsid w:val="006C775D"/>
    <w:rsid w:val="006E1B3D"/>
    <w:rsid w:val="006F02D5"/>
    <w:rsid w:val="0070106A"/>
    <w:rsid w:val="00701D78"/>
    <w:rsid w:val="007048F9"/>
    <w:rsid w:val="00716B4E"/>
    <w:rsid w:val="00743F4C"/>
    <w:rsid w:val="00774753"/>
    <w:rsid w:val="007750C5"/>
    <w:rsid w:val="0078007B"/>
    <w:rsid w:val="00781D23"/>
    <w:rsid w:val="00791BBC"/>
    <w:rsid w:val="00796940"/>
    <w:rsid w:val="007A6099"/>
    <w:rsid w:val="007B414B"/>
    <w:rsid w:val="007C796B"/>
    <w:rsid w:val="007D438C"/>
    <w:rsid w:val="007E3BB0"/>
    <w:rsid w:val="008069CE"/>
    <w:rsid w:val="00826DEB"/>
    <w:rsid w:val="00843FDC"/>
    <w:rsid w:val="00853A20"/>
    <w:rsid w:val="008540EE"/>
    <w:rsid w:val="00861AD2"/>
    <w:rsid w:val="00884E67"/>
    <w:rsid w:val="00893B9D"/>
    <w:rsid w:val="008A566C"/>
    <w:rsid w:val="008B1302"/>
    <w:rsid w:val="008B1569"/>
    <w:rsid w:val="008C2905"/>
    <w:rsid w:val="008D0294"/>
    <w:rsid w:val="008E4138"/>
    <w:rsid w:val="008E4339"/>
    <w:rsid w:val="008E4E36"/>
    <w:rsid w:val="00900D77"/>
    <w:rsid w:val="0090381F"/>
    <w:rsid w:val="00904671"/>
    <w:rsid w:val="00904FC1"/>
    <w:rsid w:val="009050F8"/>
    <w:rsid w:val="00907DF2"/>
    <w:rsid w:val="00922C2A"/>
    <w:rsid w:val="00933940"/>
    <w:rsid w:val="00952157"/>
    <w:rsid w:val="009918B3"/>
    <w:rsid w:val="009C4137"/>
    <w:rsid w:val="009E3EDF"/>
    <w:rsid w:val="009E796A"/>
    <w:rsid w:val="00A10E1E"/>
    <w:rsid w:val="00A159FD"/>
    <w:rsid w:val="00A21C54"/>
    <w:rsid w:val="00A30A7A"/>
    <w:rsid w:val="00A552A0"/>
    <w:rsid w:val="00A761C3"/>
    <w:rsid w:val="00AC05DC"/>
    <w:rsid w:val="00AC1F08"/>
    <w:rsid w:val="00AE0E4A"/>
    <w:rsid w:val="00B0471C"/>
    <w:rsid w:val="00B06C08"/>
    <w:rsid w:val="00B11C5C"/>
    <w:rsid w:val="00B27FF0"/>
    <w:rsid w:val="00B37E1F"/>
    <w:rsid w:val="00B454F8"/>
    <w:rsid w:val="00B51B36"/>
    <w:rsid w:val="00B532ED"/>
    <w:rsid w:val="00B70EBD"/>
    <w:rsid w:val="00B8002C"/>
    <w:rsid w:val="00BC0890"/>
    <w:rsid w:val="00BC1E87"/>
    <w:rsid w:val="00BC37A7"/>
    <w:rsid w:val="00BF29D3"/>
    <w:rsid w:val="00C152BD"/>
    <w:rsid w:val="00C25FFE"/>
    <w:rsid w:val="00C26AED"/>
    <w:rsid w:val="00C31E8B"/>
    <w:rsid w:val="00C33D9A"/>
    <w:rsid w:val="00C42B8C"/>
    <w:rsid w:val="00C77C4D"/>
    <w:rsid w:val="00C800A6"/>
    <w:rsid w:val="00C9084E"/>
    <w:rsid w:val="00CA62F1"/>
    <w:rsid w:val="00CA7A50"/>
    <w:rsid w:val="00CB7C9B"/>
    <w:rsid w:val="00CC33AF"/>
    <w:rsid w:val="00CD4F2E"/>
    <w:rsid w:val="00CE339D"/>
    <w:rsid w:val="00CF2456"/>
    <w:rsid w:val="00D00800"/>
    <w:rsid w:val="00D1207F"/>
    <w:rsid w:val="00D14128"/>
    <w:rsid w:val="00D55757"/>
    <w:rsid w:val="00D607C8"/>
    <w:rsid w:val="00D6460A"/>
    <w:rsid w:val="00D67A9F"/>
    <w:rsid w:val="00DB10C5"/>
    <w:rsid w:val="00DB255A"/>
    <w:rsid w:val="00E1669E"/>
    <w:rsid w:val="00E16995"/>
    <w:rsid w:val="00E302ED"/>
    <w:rsid w:val="00E30C79"/>
    <w:rsid w:val="00E36813"/>
    <w:rsid w:val="00E7533D"/>
    <w:rsid w:val="00EC2072"/>
    <w:rsid w:val="00EF7DAF"/>
    <w:rsid w:val="00F126A8"/>
    <w:rsid w:val="00F1310F"/>
    <w:rsid w:val="00F153D7"/>
    <w:rsid w:val="00F16FF0"/>
    <w:rsid w:val="00F21CA2"/>
    <w:rsid w:val="00F27C0D"/>
    <w:rsid w:val="00F334D1"/>
    <w:rsid w:val="00F36676"/>
    <w:rsid w:val="00F37837"/>
    <w:rsid w:val="00F43059"/>
    <w:rsid w:val="00F53955"/>
    <w:rsid w:val="00F650DA"/>
    <w:rsid w:val="00F651EA"/>
    <w:rsid w:val="00F66003"/>
    <w:rsid w:val="00F73781"/>
    <w:rsid w:val="00FA3FBF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8656-EA68-41E1-9C91-C1A2FC0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Пелих Марина Александровна</cp:lastModifiedBy>
  <cp:revision>16</cp:revision>
  <cp:lastPrinted>2018-05-07T13:09:00Z</cp:lastPrinted>
  <dcterms:created xsi:type="dcterms:W3CDTF">2018-04-19T14:29:00Z</dcterms:created>
  <dcterms:modified xsi:type="dcterms:W3CDTF">2018-05-08T08:21:00Z</dcterms:modified>
</cp:coreProperties>
</file>